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AB7" w:rsidRDefault="00AC7FB5">
      <w:pPr>
        <w:pStyle w:val="berschrift1"/>
        <w:spacing w:before="360" w:after="360"/>
        <w:jc w:val="center"/>
        <w:rPr>
          <w:sz w:val="40"/>
        </w:rPr>
      </w:pPr>
      <w:bookmarkStart w:id="0" w:name="_GoBack"/>
      <w:bookmarkEnd w:id="0"/>
      <w:r>
        <w:rPr>
          <w:sz w:val="40"/>
        </w:rPr>
        <w:t>DER EURO</w:t>
      </w:r>
    </w:p>
    <w:p w:rsidR="00BC1AB7" w:rsidRDefault="00AC7FB5">
      <w:pPr>
        <w:rPr>
          <w:i/>
          <w:iCs/>
        </w:rPr>
      </w:pPr>
      <w:r>
        <w:rPr>
          <w:i/>
          <w:iCs/>
        </w:rPr>
        <w:t>Eine historische Sicht aus dem Jahre 1999.</w:t>
      </w:r>
    </w:p>
    <w:p w:rsidR="00BC1AB7" w:rsidRDefault="00AC7FB5">
      <w:pPr>
        <w:pStyle w:val="berschrift1"/>
        <w:spacing w:before="240"/>
      </w:pPr>
      <w:r>
        <w:t>Chancen &amp;</w:t>
      </w:r>
      <w:r>
        <w:t xml:space="preserve"> Risiken des Euro</w:t>
      </w:r>
    </w:p>
    <w:p w:rsidR="00BC1AB7" w:rsidRDefault="00AC7FB5">
      <w:pPr>
        <w:spacing w:after="240" w:line="360" w:lineRule="auto"/>
        <w:jc w:val="both"/>
        <w:rPr>
          <w:rFonts w:ascii="Arial" w:hAnsi="Arial" w:cs="Arial"/>
        </w:rPr>
      </w:pPr>
      <w:r>
        <w:rPr>
          <w:rFonts w:ascii="Arial" w:hAnsi="Arial" w:cs="Arial"/>
        </w:rPr>
        <w:t xml:space="preserve">Die gemeinsame </w:t>
      </w:r>
      <w:proofErr w:type="spellStart"/>
      <w:r>
        <w:rPr>
          <w:rFonts w:ascii="Arial" w:hAnsi="Arial" w:cs="Arial"/>
        </w:rPr>
        <w:t>Wärung</w:t>
      </w:r>
      <w:proofErr w:type="spellEnd"/>
      <w:r>
        <w:rPr>
          <w:rFonts w:ascii="Arial" w:hAnsi="Arial" w:cs="Arial"/>
        </w:rPr>
        <w:t xml:space="preserve"> ist eine strategische Antwort Europas auf die Globalisierung der Märkte sowie der Herausbildung neuer dynamischer Wachstumszentren in Asien an der schwele zum Jahr 2000. Wenn Europa im Wettbewerb mit diesen Zentren a</w:t>
      </w:r>
      <w:r>
        <w:rPr>
          <w:rFonts w:ascii="Arial" w:hAnsi="Arial" w:cs="Arial"/>
        </w:rPr>
        <w:t xml:space="preserve">uf dem Weltmarkt den Anschluss nicht verpassen will, dann muss es sich weiterentwickeln. Mit einer gemeinsamen </w:t>
      </w:r>
      <w:proofErr w:type="spellStart"/>
      <w:r>
        <w:rPr>
          <w:rFonts w:ascii="Arial" w:hAnsi="Arial" w:cs="Arial"/>
        </w:rPr>
        <w:t>Wärung</w:t>
      </w:r>
      <w:proofErr w:type="spellEnd"/>
      <w:r>
        <w:rPr>
          <w:rFonts w:ascii="Arial" w:hAnsi="Arial" w:cs="Arial"/>
        </w:rPr>
        <w:t xml:space="preserve"> können wir das Gewicht Europas im Vergleich  zu den USA und Japan erhöhen, die Position Europas im Welthandel festigen und unseren </w:t>
      </w:r>
      <w:proofErr w:type="spellStart"/>
      <w:r>
        <w:rPr>
          <w:rFonts w:ascii="Arial" w:hAnsi="Arial" w:cs="Arial"/>
        </w:rPr>
        <w:t>Wohlstn</w:t>
      </w:r>
      <w:r>
        <w:rPr>
          <w:rFonts w:ascii="Arial" w:hAnsi="Arial" w:cs="Arial"/>
        </w:rPr>
        <w:t>ad</w:t>
      </w:r>
      <w:proofErr w:type="spellEnd"/>
      <w:r>
        <w:rPr>
          <w:rFonts w:ascii="Arial" w:hAnsi="Arial" w:cs="Arial"/>
        </w:rPr>
        <w:t xml:space="preserve"> sichern.</w:t>
      </w:r>
    </w:p>
    <w:p w:rsidR="00BC1AB7" w:rsidRDefault="00AC7FB5">
      <w:pPr>
        <w:pStyle w:val="berschrift2"/>
        <w:spacing w:after="120"/>
      </w:pPr>
      <w:r>
        <w:t>Chancen des Euro</w:t>
      </w:r>
    </w:p>
    <w:p w:rsidR="00BC1AB7" w:rsidRDefault="00AC7FB5">
      <w:pPr>
        <w:numPr>
          <w:ilvl w:val="0"/>
          <w:numId w:val="2"/>
        </w:numPr>
        <w:spacing w:after="120" w:line="360" w:lineRule="auto"/>
        <w:jc w:val="both"/>
        <w:rPr>
          <w:rFonts w:ascii="Arial" w:hAnsi="Arial" w:cs="Arial"/>
        </w:rPr>
      </w:pPr>
      <w:r>
        <w:rPr>
          <w:rFonts w:ascii="Arial" w:hAnsi="Arial" w:cs="Arial"/>
        </w:rPr>
        <w:t>Preisvergleiche mit dem Ausland werden einfacher.</w:t>
      </w:r>
    </w:p>
    <w:p w:rsidR="00BC1AB7" w:rsidRDefault="00AC7FB5">
      <w:pPr>
        <w:numPr>
          <w:ilvl w:val="0"/>
          <w:numId w:val="1"/>
        </w:numPr>
        <w:spacing w:after="120" w:line="360" w:lineRule="auto"/>
        <w:jc w:val="both"/>
        <w:rPr>
          <w:rFonts w:ascii="Arial" w:hAnsi="Arial" w:cs="Arial"/>
        </w:rPr>
      </w:pPr>
      <w:r>
        <w:rPr>
          <w:rFonts w:ascii="Arial" w:hAnsi="Arial" w:cs="Arial"/>
        </w:rPr>
        <w:t xml:space="preserve">Umtauschkosten bei Geschäften innerhalb der </w:t>
      </w:r>
      <w:proofErr w:type="spellStart"/>
      <w:r>
        <w:rPr>
          <w:rFonts w:ascii="Arial" w:hAnsi="Arial" w:cs="Arial"/>
        </w:rPr>
        <w:t>Wärungsunion</w:t>
      </w:r>
      <w:proofErr w:type="spellEnd"/>
      <w:r>
        <w:rPr>
          <w:rFonts w:ascii="Arial" w:hAnsi="Arial" w:cs="Arial"/>
        </w:rPr>
        <w:t xml:space="preserve"> fallen weg. Das bringt </w:t>
      </w:r>
      <w:proofErr w:type="spellStart"/>
      <w:r>
        <w:rPr>
          <w:rFonts w:ascii="Arial" w:hAnsi="Arial" w:cs="Arial"/>
        </w:rPr>
        <w:t>zB</w:t>
      </w:r>
      <w:proofErr w:type="spellEnd"/>
      <w:r>
        <w:rPr>
          <w:rFonts w:ascii="Arial" w:hAnsi="Arial" w:cs="Arial"/>
        </w:rPr>
        <w:t xml:space="preserve"> für sie als Urlauber in Italien oder Exporteur nach Frankreich erhebliche Vorteile.</w:t>
      </w:r>
    </w:p>
    <w:p w:rsidR="00BC1AB7" w:rsidRDefault="00AC7FB5">
      <w:pPr>
        <w:numPr>
          <w:ilvl w:val="0"/>
          <w:numId w:val="1"/>
        </w:numPr>
        <w:spacing w:after="120" w:line="360" w:lineRule="auto"/>
        <w:jc w:val="both"/>
        <w:rPr>
          <w:rFonts w:ascii="Arial" w:hAnsi="Arial" w:cs="Arial"/>
        </w:rPr>
      </w:pPr>
      <w:r>
        <w:rPr>
          <w:rFonts w:ascii="Arial" w:hAnsi="Arial" w:cs="Arial"/>
        </w:rPr>
        <w:t>Das Angebo</w:t>
      </w:r>
      <w:r>
        <w:rPr>
          <w:rFonts w:ascii="Arial" w:hAnsi="Arial" w:cs="Arial"/>
        </w:rPr>
        <w:t>t auf den Kapitalmärkten wird erweitert und dessen direkte Vergleichbarkeit erhöht.</w:t>
      </w:r>
    </w:p>
    <w:p w:rsidR="00BC1AB7" w:rsidRDefault="00AC7FB5">
      <w:pPr>
        <w:numPr>
          <w:ilvl w:val="0"/>
          <w:numId w:val="1"/>
        </w:numPr>
        <w:spacing w:after="120" w:line="360" w:lineRule="auto"/>
        <w:jc w:val="both"/>
        <w:rPr>
          <w:rFonts w:ascii="Arial" w:hAnsi="Arial" w:cs="Arial"/>
        </w:rPr>
      </w:pPr>
      <w:r>
        <w:rPr>
          <w:rFonts w:ascii="Arial" w:hAnsi="Arial" w:cs="Arial"/>
        </w:rPr>
        <w:t xml:space="preserve">Für grenzüberschreitende Investitionen sowie für die Importe und Exporte zwischen den teilnehmenden </w:t>
      </w:r>
      <w:proofErr w:type="spellStart"/>
      <w:r>
        <w:rPr>
          <w:rFonts w:ascii="Arial" w:hAnsi="Arial" w:cs="Arial"/>
        </w:rPr>
        <w:t>Staten</w:t>
      </w:r>
      <w:proofErr w:type="spellEnd"/>
      <w:r>
        <w:rPr>
          <w:rFonts w:ascii="Arial" w:hAnsi="Arial" w:cs="Arial"/>
        </w:rPr>
        <w:t xml:space="preserve"> entfällt das </w:t>
      </w:r>
      <w:proofErr w:type="spellStart"/>
      <w:r>
        <w:rPr>
          <w:rFonts w:ascii="Arial" w:hAnsi="Arial" w:cs="Arial"/>
        </w:rPr>
        <w:t>Wärungsrisiko</w:t>
      </w:r>
      <w:proofErr w:type="spellEnd"/>
      <w:r>
        <w:rPr>
          <w:rFonts w:ascii="Arial" w:hAnsi="Arial" w:cs="Arial"/>
        </w:rPr>
        <w:t>.</w:t>
      </w:r>
    </w:p>
    <w:p w:rsidR="00BC1AB7" w:rsidRDefault="00AC7FB5">
      <w:pPr>
        <w:numPr>
          <w:ilvl w:val="0"/>
          <w:numId w:val="1"/>
        </w:numPr>
        <w:spacing w:after="120" w:line="360" w:lineRule="auto"/>
        <w:jc w:val="both"/>
        <w:rPr>
          <w:rFonts w:ascii="Arial" w:hAnsi="Arial" w:cs="Arial"/>
        </w:rPr>
      </w:pPr>
      <w:r>
        <w:rPr>
          <w:rFonts w:ascii="Arial" w:hAnsi="Arial" w:cs="Arial"/>
        </w:rPr>
        <w:t xml:space="preserve">Die Schaffung einer gemeinsamen </w:t>
      </w:r>
      <w:proofErr w:type="spellStart"/>
      <w:r>
        <w:rPr>
          <w:rFonts w:ascii="Arial" w:hAnsi="Arial" w:cs="Arial"/>
        </w:rPr>
        <w:t>Wärun</w:t>
      </w:r>
      <w:r>
        <w:rPr>
          <w:rFonts w:ascii="Arial" w:hAnsi="Arial" w:cs="Arial"/>
        </w:rPr>
        <w:t>g</w:t>
      </w:r>
      <w:proofErr w:type="spellEnd"/>
      <w:r>
        <w:rPr>
          <w:rFonts w:ascii="Arial" w:hAnsi="Arial" w:cs="Arial"/>
        </w:rPr>
        <w:t xml:space="preserve"> ist die Voraussetzung für die Vollendung des Binnenmarktes.</w:t>
      </w:r>
    </w:p>
    <w:p w:rsidR="00BC1AB7" w:rsidRDefault="00AC7FB5">
      <w:pPr>
        <w:pStyle w:val="Textbody"/>
        <w:numPr>
          <w:ilvl w:val="0"/>
          <w:numId w:val="1"/>
        </w:numPr>
        <w:spacing w:after="120" w:line="360" w:lineRule="auto"/>
        <w:rPr>
          <w:rFonts w:ascii="Arial" w:hAnsi="Arial" w:cs="Arial"/>
        </w:rPr>
      </w:pPr>
      <w:r>
        <w:rPr>
          <w:rFonts w:ascii="Arial" w:hAnsi="Arial" w:cs="Arial"/>
        </w:rPr>
        <w:t xml:space="preserve">Durch die Schaffung der gemeinsamen </w:t>
      </w:r>
      <w:proofErr w:type="spellStart"/>
      <w:r>
        <w:rPr>
          <w:rFonts w:ascii="Arial" w:hAnsi="Arial" w:cs="Arial"/>
        </w:rPr>
        <w:t>Wärung</w:t>
      </w:r>
      <w:proofErr w:type="spellEnd"/>
      <w:r>
        <w:rPr>
          <w:rFonts w:ascii="Arial" w:hAnsi="Arial" w:cs="Arial"/>
        </w:rPr>
        <w:t xml:space="preserve"> bekommt die </w:t>
      </w:r>
      <w:proofErr w:type="spellStart"/>
      <w:r>
        <w:rPr>
          <w:rFonts w:ascii="Arial" w:hAnsi="Arial" w:cs="Arial"/>
        </w:rPr>
        <w:t>Europäsche</w:t>
      </w:r>
      <w:proofErr w:type="spellEnd"/>
      <w:r>
        <w:rPr>
          <w:rFonts w:ascii="Arial" w:hAnsi="Arial" w:cs="Arial"/>
        </w:rPr>
        <w:t xml:space="preserve"> Union mehr politisches und wirtschaftliches Gewicht auf den Weltmärkten.</w:t>
      </w:r>
    </w:p>
    <w:p w:rsidR="00BC1AB7" w:rsidRDefault="00AC7FB5">
      <w:pPr>
        <w:pStyle w:val="berschrift2"/>
        <w:spacing w:after="120"/>
      </w:pPr>
      <w:r>
        <w:t>Risiken des Euro</w:t>
      </w:r>
    </w:p>
    <w:p w:rsidR="00BC1AB7" w:rsidRDefault="00AC7FB5">
      <w:pPr>
        <w:numPr>
          <w:ilvl w:val="0"/>
          <w:numId w:val="1"/>
        </w:numPr>
        <w:spacing w:after="120" w:line="360" w:lineRule="auto"/>
        <w:jc w:val="both"/>
        <w:rPr>
          <w:rFonts w:ascii="Arial" w:hAnsi="Arial" w:cs="Arial"/>
        </w:rPr>
      </w:pPr>
      <w:r>
        <w:rPr>
          <w:rFonts w:ascii="Arial" w:hAnsi="Arial" w:cs="Arial"/>
        </w:rPr>
        <w:t xml:space="preserve">Verlust an </w:t>
      </w:r>
      <w:proofErr w:type="spellStart"/>
      <w:r>
        <w:rPr>
          <w:rFonts w:ascii="Arial" w:hAnsi="Arial" w:cs="Arial"/>
        </w:rPr>
        <w:t>wärungspolitischer</w:t>
      </w:r>
      <w:proofErr w:type="spellEnd"/>
      <w:r>
        <w:rPr>
          <w:rFonts w:ascii="Arial" w:hAnsi="Arial" w:cs="Arial"/>
        </w:rPr>
        <w:t xml:space="preserve"> Eigenstä</w:t>
      </w:r>
      <w:r>
        <w:rPr>
          <w:rFonts w:ascii="Arial" w:hAnsi="Arial" w:cs="Arial"/>
        </w:rPr>
        <w:t>ndigkeit</w:t>
      </w:r>
    </w:p>
    <w:p w:rsidR="00BC1AB7" w:rsidRDefault="00AC7FB5">
      <w:pPr>
        <w:numPr>
          <w:ilvl w:val="0"/>
          <w:numId w:val="1"/>
        </w:numPr>
        <w:spacing w:after="120" w:line="360" w:lineRule="auto"/>
        <w:jc w:val="both"/>
        <w:rPr>
          <w:rFonts w:ascii="Arial" w:hAnsi="Arial" w:cs="Arial"/>
        </w:rPr>
      </w:pPr>
      <w:r>
        <w:rPr>
          <w:rFonts w:ascii="Arial" w:hAnsi="Arial" w:cs="Arial"/>
        </w:rPr>
        <w:t xml:space="preserve">Die konjunkturelle </w:t>
      </w:r>
      <w:proofErr w:type="spellStart"/>
      <w:r>
        <w:rPr>
          <w:rFonts w:ascii="Arial" w:hAnsi="Arial" w:cs="Arial"/>
        </w:rPr>
        <w:t>Abhängikeit</w:t>
      </w:r>
      <w:proofErr w:type="spellEnd"/>
      <w:r>
        <w:rPr>
          <w:rFonts w:ascii="Arial" w:hAnsi="Arial" w:cs="Arial"/>
        </w:rPr>
        <w:t xml:space="preserve"> von anderen EU-Mitgliedstaaten steigt.</w:t>
      </w:r>
    </w:p>
    <w:p w:rsidR="00BC1AB7" w:rsidRDefault="00AC7FB5">
      <w:pPr>
        <w:numPr>
          <w:ilvl w:val="0"/>
          <w:numId w:val="1"/>
        </w:numPr>
        <w:spacing w:after="120" w:line="360" w:lineRule="auto"/>
        <w:jc w:val="both"/>
        <w:rPr>
          <w:rFonts w:ascii="Arial" w:hAnsi="Arial" w:cs="Arial"/>
        </w:rPr>
      </w:pPr>
      <w:r>
        <w:rPr>
          <w:rFonts w:ascii="Arial" w:hAnsi="Arial" w:cs="Arial"/>
        </w:rPr>
        <w:t>Spaltung der EU in Euro-</w:t>
      </w:r>
      <w:proofErr w:type="spellStart"/>
      <w:r>
        <w:rPr>
          <w:rFonts w:ascii="Arial" w:hAnsi="Arial" w:cs="Arial"/>
        </w:rPr>
        <w:t>Teilnemer</w:t>
      </w:r>
      <w:proofErr w:type="spellEnd"/>
      <w:r>
        <w:rPr>
          <w:rFonts w:ascii="Arial" w:hAnsi="Arial" w:cs="Arial"/>
        </w:rPr>
        <w:t>- und Nicht-</w:t>
      </w:r>
      <w:proofErr w:type="spellStart"/>
      <w:r>
        <w:rPr>
          <w:rFonts w:ascii="Arial" w:hAnsi="Arial" w:cs="Arial"/>
        </w:rPr>
        <w:t>Teilnemer</w:t>
      </w:r>
      <w:proofErr w:type="spellEnd"/>
      <w:r>
        <w:rPr>
          <w:rFonts w:ascii="Arial" w:hAnsi="Arial" w:cs="Arial"/>
        </w:rPr>
        <w:t>-Staaten.</w:t>
      </w:r>
    </w:p>
    <w:p w:rsidR="00BC1AB7" w:rsidRDefault="00AC7FB5">
      <w:pPr>
        <w:numPr>
          <w:ilvl w:val="0"/>
          <w:numId w:val="1"/>
        </w:numPr>
        <w:spacing w:after="120" w:line="360" w:lineRule="auto"/>
        <w:jc w:val="both"/>
        <w:rPr>
          <w:rFonts w:ascii="Arial" w:hAnsi="Arial" w:cs="Arial"/>
        </w:rPr>
      </w:pPr>
      <w:r>
        <w:rPr>
          <w:rFonts w:ascii="Arial" w:hAnsi="Arial" w:cs="Arial"/>
        </w:rPr>
        <w:lastRenderedPageBreak/>
        <w:t>Umstellungskosten (EDV, Buchhaltung, Preisauszeichnung etc.)</w:t>
      </w:r>
    </w:p>
    <w:p w:rsidR="00BC1AB7" w:rsidRDefault="00AC7FB5">
      <w:pPr>
        <w:numPr>
          <w:ilvl w:val="0"/>
          <w:numId w:val="1"/>
        </w:numPr>
        <w:spacing w:after="120" w:line="360" w:lineRule="auto"/>
        <w:jc w:val="both"/>
        <w:rPr>
          <w:rFonts w:ascii="Arial" w:hAnsi="Arial" w:cs="Arial"/>
        </w:rPr>
      </w:pPr>
      <w:r>
        <w:rPr>
          <w:rFonts w:ascii="Arial" w:hAnsi="Arial" w:cs="Arial"/>
        </w:rPr>
        <w:t>Unsicherheit im Umgang mit der neuen Währung</w:t>
      </w:r>
    </w:p>
    <w:p w:rsidR="00BC1AB7" w:rsidRDefault="00AC7FB5">
      <w:pPr>
        <w:spacing w:after="120" w:line="360" w:lineRule="auto"/>
        <w:jc w:val="both"/>
        <w:rPr>
          <w:rFonts w:ascii="Arial" w:hAnsi="Arial" w:cs="Arial"/>
        </w:rPr>
      </w:pPr>
      <w:r>
        <w:rPr>
          <w:rFonts w:ascii="Arial" w:hAnsi="Arial" w:cs="Arial"/>
        </w:rPr>
        <w:t xml:space="preserve">Die </w:t>
      </w:r>
      <w:r>
        <w:rPr>
          <w:rFonts w:ascii="Arial" w:hAnsi="Arial" w:cs="Arial"/>
        </w:rPr>
        <w:t xml:space="preserve">Einführung einer neuen </w:t>
      </w:r>
      <w:proofErr w:type="spellStart"/>
      <w:r>
        <w:rPr>
          <w:rFonts w:ascii="Arial" w:hAnsi="Arial" w:cs="Arial"/>
        </w:rPr>
        <w:t>Wärung</w:t>
      </w:r>
      <w:proofErr w:type="spellEnd"/>
      <w:r>
        <w:rPr>
          <w:rFonts w:ascii="Arial" w:hAnsi="Arial" w:cs="Arial"/>
        </w:rPr>
        <w:t xml:space="preserve"> bringt auch Unsicherheiten mit sich. </w:t>
      </w:r>
      <w:proofErr w:type="spellStart"/>
      <w:r>
        <w:rPr>
          <w:rFonts w:ascii="Arial" w:hAnsi="Arial" w:cs="Arial"/>
        </w:rPr>
        <w:t>Alerdings</w:t>
      </w:r>
      <w:proofErr w:type="spellEnd"/>
      <w:r>
        <w:rPr>
          <w:rFonts w:ascii="Arial" w:hAnsi="Arial" w:cs="Arial"/>
        </w:rPr>
        <w:t xml:space="preserve"> werden einige Probleme nur auf die </w:t>
      </w:r>
      <w:proofErr w:type="spellStart"/>
      <w:r>
        <w:rPr>
          <w:rFonts w:ascii="Arial" w:hAnsi="Arial" w:cs="Arial"/>
        </w:rPr>
        <w:t>Fase</w:t>
      </w:r>
      <w:proofErr w:type="spellEnd"/>
      <w:r>
        <w:rPr>
          <w:rFonts w:ascii="Arial" w:hAnsi="Arial" w:cs="Arial"/>
        </w:rPr>
        <w:t xml:space="preserve"> der Umstellung beschränkt bleiben</w:t>
      </w:r>
    </w:p>
    <w:sectPr w:rsidR="00BC1AB7">
      <w:pgSz w:w="11906" w:h="16838"/>
      <w:pgMar w:top="1418" w:right="1418"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FB5" w:rsidRDefault="00AC7FB5">
      <w:r>
        <w:separator/>
      </w:r>
    </w:p>
  </w:endnote>
  <w:endnote w:type="continuationSeparator" w:id="0">
    <w:p w:rsidR="00AC7FB5" w:rsidRDefault="00AC7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FB5" w:rsidRDefault="00AC7FB5">
      <w:r>
        <w:rPr>
          <w:color w:val="000000"/>
        </w:rPr>
        <w:separator/>
      </w:r>
    </w:p>
  </w:footnote>
  <w:footnote w:type="continuationSeparator" w:id="0">
    <w:p w:rsidR="00AC7FB5" w:rsidRDefault="00AC7F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8E5E1E"/>
    <w:multiLevelType w:val="multilevel"/>
    <w:tmpl w:val="CC56AAAC"/>
    <w:styleLink w:val="WW8Num1"/>
    <w:lvl w:ilvl="0">
      <w:numFmt w:val="bullet"/>
      <w:lvlText w:val=""/>
      <w:lvlJc w:val="left"/>
      <w:rPr>
        <w:rFonts w:ascii="Wingdings" w:hAnsi="Wingdings"/>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num w:numId="1">
    <w:abstractNumId w:val="0"/>
  </w:num>
  <w:num w:numId="2">
    <w:abstractNumId w:val="0"/>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BC1AB7"/>
    <w:rsid w:val="00610D22"/>
    <w:rsid w:val="00AC7FB5"/>
    <w:rsid w:val="00BC1AB7"/>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Mangal"/>
        <w:kern w:val="3"/>
        <w:sz w:val="24"/>
        <w:szCs w:val="24"/>
        <w:lang w:val="de-AT"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pPr>
      <w:widowControl/>
    </w:pPr>
    <w:rPr>
      <w:rFonts w:eastAsia="Times New Roman" w:cs="Times New Roman"/>
      <w:lang w:bidi="ar-SA"/>
    </w:rPr>
  </w:style>
  <w:style w:type="paragraph" w:styleId="berschrift1">
    <w:name w:val="heading 1"/>
    <w:basedOn w:val="Standard"/>
    <w:next w:val="Standard"/>
    <w:pPr>
      <w:keepNext/>
      <w:tabs>
        <w:tab w:val="left" w:pos="6223"/>
      </w:tabs>
      <w:spacing w:after="240" w:line="360" w:lineRule="auto"/>
      <w:jc w:val="both"/>
      <w:outlineLvl w:val="0"/>
    </w:pPr>
    <w:rPr>
      <w:rFonts w:ascii="Arial" w:hAnsi="Arial" w:cs="Arial"/>
      <w:b/>
      <w:bCs/>
      <w:smallCaps/>
      <w:sz w:val="36"/>
    </w:rPr>
  </w:style>
  <w:style w:type="paragraph" w:styleId="berschrift2">
    <w:name w:val="heading 2"/>
    <w:basedOn w:val="Standard"/>
    <w:next w:val="Standard"/>
    <w:pPr>
      <w:keepNext/>
      <w:spacing w:after="240" w:line="360" w:lineRule="auto"/>
      <w:jc w:val="both"/>
      <w:outlineLvl w:val="1"/>
    </w:pPr>
    <w:rPr>
      <w:rFonts w:ascii="Arial" w:hAnsi="Arial" w:cs="Arial"/>
      <w:b/>
      <w:bCs/>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eastAsia="Arial Unicode MS" w:hAnsi="Arial" w:cs="Mangal"/>
      <w:sz w:val="28"/>
      <w:szCs w:val="28"/>
    </w:rPr>
  </w:style>
  <w:style w:type="paragraph" w:customStyle="1" w:styleId="Textbody">
    <w:name w:val="Text body"/>
    <w:basedOn w:val="Standard"/>
    <w:pPr>
      <w:jc w:val="both"/>
    </w:pPr>
  </w:style>
  <w:style w:type="paragraph" w:styleId="Liste">
    <w:name w:val="List"/>
    <w:basedOn w:val="Textbody"/>
    <w:rPr>
      <w:rFonts w:cs="Mangal"/>
    </w:rPr>
  </w:style>
  <w:style w:type="paragraph" w:styleId="Beschriftung">
    <w:name w:val="caption"/>
    <w:basedOn w:val="Standard"/>
    <w:pPr>
      <w:suppressLineNumbers/>
      <w:spacing w:before="120" w:after="120"/>
    </w:pPr>
    <w:rPr>
      <w:rFonts w:cs="Mangal"/>
      <w:i/>
      <w:iCs/>
    </w:rPr>
  </w:style>
  <w:style w:type="paragraph" w:customStyle="1" w:styleId="Index">
    <w:name w:val="Index"/>
    <w:basedOn w:val="Standard"/>
    <w:pPr>
      <w:suppressLineNumbers/>
    </w:pPr>
    <w:rPr>
      <w:rFonts w:cs="Mang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customStyle="1" w:styleId="WW8Num1z0">
    <w:name w:val="WW8Num1z0"/>
    <w:rPr>
      <w:rFonts w:ascii="Wingdings" w:hAnsi="Wingdings"/>
    </w:rPr>
  </w:style>
  <w:style w:type="character" w:customStyle="1" w:styleId="WW8Num1z1">
    <w:name w:val="WW8Num1z1"/>
    <w:rPr>
      <w:rFonts w:ascii="Courier New" w:hAnsi="Courier New"/>
    </w:rPr>
  </w:style>
  <w:style w:type="character" w:customStyle="1" w:styleId="WW8Num1z3">
    <w:name w:val="WW8Num1z3"/>
    <w:rPr>
      <w:rFonts w:ascii="Symbol" w:hAnsi="Symbol"/>
    </w:rPr>
  </w:style>
  <w:style w:type="numbering" w:customStyle="1" w:styleId="WW8Num1">
    <w:name w:val="WW8Num1"/>
    <w:basedOn w:val="KeineListe"/>
    <w:pPr>
      <w:numPr>
        <w:numId w:val="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Mangal"/>
        <w:kern w:val="3"/>
        <w:sz w:val="24"/>
        <w:szCs w:val="24"/>
        <w:lang w:val="de-AT"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pPr>
      <w:widowControl/>
    </w:pPr>
    <w:rPr>
      <w:rFonts w:eastAsia="Times New Roman" w:cs="Times New Roman"/>
      <w:lang w:bidi="ar-SA"/>
    </w:rPr>
  </w:style>
  <w:style w:type="paragraph" w:styleId="berschrift1">
    <w:name w:val="heading 1"/>
    <w:basedOn w:val="Standard"/>
    <w:next w:val="Standard"/>
    <w:pPr>
      <w:keepNext/>
      <w:tabs>
        <w:tab w:val="left" w:pos="6223"/>
      </w:tabs>
      <w:spacing w:after="240" w:line="360" w:lineRule="auto"/>
      <w:jc w:val="both"/>
      <w:outlineLvl w:val="0"/>
    </w:pPr>
    <w:rPr>
      <w:rFonts w:ascii="Arial" w:hAnsi="Arial" w:cs="Arial"/>
      <w:b/>
      <w:bCs/>
      <w:smallCaps/>
      <w:sz w:val="36"/>
    </w:rPr>
  </w:style>
  <w:style w:type="paragraph" w:styleId="berschrift2">
    <w:name w:val="heading 2"/>
    <w:basedOn w:val="Standard"/>
    <w:next w:val="Standard"/>
    <w:pPr>
      <w:keepNext/>
      <w:spacing w:after="240" w:line="360" w:lineRule="auto"/>
      <w:jc w:val="both"/>
      <w:outlineLvl w:val="1"/>
    </w:pPr>
    <w:rPr>
      <w:rFonts w:ascii="Arial" w:hAnsi="Arial" w:cs="Arial"/>
      <w:b/>
      <w:bCs/>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eastAsia="Arial Unicode MS" w:hAnsi="Arial" w:cs="Mangal"/>
      <w:sz w:val="28"/>
      <w:szCs w:val="28"/>
    </w:rPr>
  </w:style>
  <w:style w:type="paragraph" w:customStyle="1" w:styleId="Textbody">
    <w:name w:val="Text body"/>
    <w:basedOn w:val="Standard"/>
    <w:pPr>
      <w:jc w:val="both"/>
    </w:pPr>
  </w:style>
  <w:style w:type="paragraph" w:styleId="Liste">
    <w:name w:val="List"/>
    <w:basedOn w:val="Textbody"/>
    <w:rPr>
      <w:rFonts w:cs="Mangal"/>
    </w:rPr>
  </w:style>
  <w:style w:type="paragraph" w:styleId="Beschriftung">
    <w:name w:val="caption"/>
    <w:basedOn w:val="Standard"/>
    <w:pPr>
      <w:suppressLineNumbers/>
      <w:spacing w:before="120" w:after="120"/>
    </w:pPr>
    <w:rPr>
      <w:rFonts w:cs="Mangal"/>
      <w:i/>
      <w:iCs/>
    </w:rPr>
  </w:style>
  <w:style w:type="paragraph" w:customStyle="1" w:styleId="Index">
    <w:name w:val="Index"/>
    <w:basedOn w:val="Standard"/>
    <w:pPr>
      <w:suppressLineNumbers/>
    </w:pPr>
    <w:rPr>
      <w:rFonts w:cs="Mang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customStyle="1" w:styleId="WW8Num1z0">
    <w:name w:val="WW8Num1z0"/>
    <w:rPr>
      <w:rFonts w:ascii="Wingdings" w:hAnsi="Wingdings"/>
    </w:rPr>
  </w:style>
  <w:style w:type="character" w:customStyle="1" w:styleId="WW8Num1z1">
    <w:name w:val="WW8Num1z1"/>
    <w:rPr>
      <w:rFonts w:ascii="Courier New" w:hAnsi="Courier New"/>
    </w:rPr>
  </w:style>
  <w:style w:type="character" w:customStyle="1" w:styleId="WW8Num1z3">
    <w:name w:val="WW8Num1z3"/>
    <w:rPr>
      <w:rFonts w:ascii="Symbol" w:hAnsi="Symbol"/>
    </w:rPr>
  </w:style>
  <w:style w:type="numbering" w:customStyle="1" w:styleId="WW8Num1">
    <w:name w:val="WW8Num1"/>
    <w:basedOn w:val="KeineList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239</Words>
  <Characters>1506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Chancen &amp; Risiken des Euro</vt:lpstr>
    </vt:vector>
  </TitlesOfParts>
  <Company/>
  <LinksUpToDate>false</LinksUpToDate>
  <CharactersWithSpaces>1742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Chancen &amp; Risiken des Euro</dc:title>
  <dc:creator>Edith</dc:creator>
  <cp:lastModifiedBy>Wolfgang Steinert</cp:lastModifiedBy>
  <cp:revision>2</cp:revision>
  <dcterms:created xsi:type="dcterms:W3CDTF">2012-09-17T20:02:00Z</dcterms:created>
  <dcterms:modified xsi:type="dcterms:W3CDTF">2012-09-17T20:02:00Z</dcterms:modified>
</cp:coreProperties>
</file>